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B5" w:rsidRPr="00D872B5" w:rsidRDefault="00D872B5" w:rsidP="00D872B5">
      <w:pPr>
        <w:jc w:val="center"/>
        <w:rPr>
          <w:rFonts w:ascii="Times New Roman" w:hAnsi="Times New Roman" w:cs="Times New Roman"/>
          <w:b/>
        </w:rPr>
      </w:pPr>
      <w:r w:rsidRPr="00D872B5">
        <w:rPr>
          <w:rFonts w:ascii="Times New Roman" w:hAnsi="Times New Roman" w:cs="Times New Roman"/>
          <w:b/>
        </w:rPr>
        <w:t>Yangon Port</w:t>
      </w:r>
    </w:p>
    <w:p w:rsidR="00D872B5" w:rsidRPr="00D872B5" w:rsidRDefault="00D872B5" w:rsidP="00D872B5">
      <w:pPr>
        <w:jc w:val="center"/>
        <w:rPr>
          <w:rFonts w:ascii="Times New Roman" w:hAnsi="Times New Roman" w:cs="Times New Roman"/>
          <w:sz w:val="28"/>
          <w:szCs w:val="24"/>
        </w:rPr>
      </w:pPr>
      <w:r w:rsidRPr="00D872B5">
        <w:rPr>
          <w:rFonts w:ascii="Times New Roman" w:hAnsi="Times New Roman" w:cs="Times New Roman"/>
          <w:sz w:val="28"/>
          <w:szCs w:val="24"/>
        </w:rPr>
        <w:t>Container Throughput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0"/>
        <w:gridCol w:w="1885"/>
        <w:gridCol w:w="1890"/>
        <w:gridCol w:w="1890"/>
        <w:gridCol w:w="1890"/>
        <w:gridCol w:w="1710"/>
      </w:tblGrid>
      <w:tr w:rsidR="00D872B5" w:rsidRPr="00D872B5" w:rsidTr="00D872B5">
        <w:trPr>
          <w:trHeight w:val="380"/>
        </w:trPr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Fiscal Year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Import (TEU)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Export (TEU)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Total (TEU)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growth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99,857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96,832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196,689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119,201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127,195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246,396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25%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134,457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151,497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285,954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16%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150,041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147,938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297,979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 4%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175,315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171,327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346,642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16%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209,932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203,445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413,377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19 %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239,347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238,993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478,340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16 %</w:t>
            </w:r>
          </w:p>
        </w:tc>
      </w:tr>
      <w:tr w:rsidR="00D872B5" w:rsidRPr="00D872B5" w:rsidTr="00D872B5">
        <w:trPr>
          <w:trHeight w:val="20"/>
        </w:trPr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309,767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303,804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613,571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28 %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377,557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367,232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744,789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21 %</w:t>
            </w:r>
          </w:p>
        </w:tc>
      </w:tr>
      <w:tr w:rsidR="00D872B5" w:rsidRPr="00D872B5" w:rsidTr="00D872B5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459,037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434,164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893,201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20%</w:t>
            </w:r>
          </w:p>
        </w:tc>
      </w:tr>
    </w:tbl>
    <w:p w:rsidR="00865837" w:rsidRDefault="00865837"/>
    <w:p w:rsidR="00D872B5" w:rsidRDefault="00D872B5">
      <w:r w:rsidRPr="00D872B5">
        <w:drawing>
          <wp:inline distT="0" distB="0" distL="0" distR="0" wp14:anchorId="2DA7AAAE" wp14:editId="144B9D12">
            <wp:extent cx="5943600" cy="3212465"/>
            <wp:effectExtent l="0" t="0" r="19050" b="260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72B5" w:rsidRDefault="00D872B5">
      <w:r>
        <w:br w:type="page"/>
      </w:r>
    </w:p>
    <w:p w:rsidR="00D872B5" w:rsidRPr="00D872B5" w:rsidRDefault="00D872B5" w:rsidP="00D872B5">
      <w:pPr>
        <w:jc w:val="center"/>
        <w:rPr>
          <w:rFonts w:ascii="Times New Roman" w:hAnsi="Times New Roman" w:cs="Times New Roman"/>
          <w:b/>
        </w:rPr>
      </w:pPr>
      <w:r w:rsidRPr="00D872B5">
        <w:rPr>
          <w:rFonts w:ascii="Times New Roman" w:hAnsi="Times New Roman" w:cs="Times New Roman"/>
          <w:b/>
        </w:rPr>
        <w:lastRenderedPageBreak/>
        <w:t>Yangon Port</w:t>
      </w:r>
    </w:p>
    <w:p w:rsidR="00D872B5" w:rsidRPr="00D872B5" w:rsidRDefault="00D872B5" w:rsidP="00D872B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General Cargo</w:t>
      </w:r>
      <w:r w:rsidRPr="00D872B5">
        <w:rPr>
          <w:rFonts w:ascii="Times New Roman" w:hAnsi="Times New Roman" w:cs="Times New Roman"/>
          <w:sz w:val="28"/>
          <w:szCs w:val="24"/>
        </w:rPr>
        <w:t xml:space="preserve"> Throughput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0"/>
        <w:gridCol w:w="1885"/>
        <w:gridCol w:w="1890"/>
        <w:gridCol w:w="1890"/>
        <w:gridCol w:w="1890"/>
        <w:gridCol w:w="1710"/>
      </w:tblGrid>
      <w:tr w:rsidR="00D872B5" w:rsidRPr="00D872B5" w:rsidTr="00A03968">
        <w:trPr>
          <w:trHeight w:val="380"/>
        </w:trPr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Fiscal Year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Import (Ton)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Export (Ton)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Total (Ton)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b/>
                <w:sz w:val="24"/>
                <w:szCs w:val="24"/>
              </w:rPr>
              <w:t>growth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1,621,010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749,358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2,370,368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1,726,800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885,345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2,612,145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10%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1,485,000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3,004,119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4,489,119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72%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2,594,606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1,332,885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3,927,491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5,553,545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1,957,907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7,511,452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91%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3,132,302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1,876,712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5,009,014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(-) 33 %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6,289,316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3,871,211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10,160,527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(+)2.8%</w:t>
            </w:r>
          </w:p>
        </w:tc>
      </w:tr>
      <w:tr w:rsidR="00D872B5" w:rsidRPr="00D872B5" w:rsidTr="0046484C">
        <w:trPr>
          <w:trHeight w:val="20"/>
        </w:trPr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7,202,162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5,047,790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12,249,952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20 %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9,670,919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2,437,193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12,108,112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(-)  1 %</w:t>
            </w:r>
          </w:p>
        </w:tc>
      </w:tr>
      <w:tr w:rsidR="00D872B5" w:rsidRPr="00D872B5" w:rsidTr="0046484C">
        <w:tc>
          <w:tcPr>
            <w:tcW w:w="116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hideMark/>
          </w:tcPr>
          <w:p w:rsidR="00D872B5" w:rsidRPr="00D872B5" w:rsidRDefault="00D872B5" w:rsidP="00A0396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11,525,748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777,031</w:t>
            </w:r>
          </w:p>
        </w:tc>
        <w:tc>
          <w:tcPr>
            <w:tcW w:w="189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12,302,779</w:t>
            </w:r>
          </w:p>
        </w:tc>
        <w:tc>
          <w:tcPr>
            <w:tcW w:w="1710" w:type="dxa"/>
            <w:shd w:val="clear" w:color="auto" w:fill="auto"/>
            <w:tcMar>
              <w:top w:w="76" w:type="dxa"/>
              <w:left w:w="165" w:type="dxa"/>
              <w:bottom w:w="76" w:type="dxa"/>
              <w:right w:w="165" w:type="dxa"/>
            </w:tcMar>
            <w:vAlign w:val="center"/>
            <w:hideMark/>
          </w:tcPr>
          <w:p w:rsidR="00D872B5" w:rsidRPr="00D872B5" w:rsidRDefault="00D872B5" w:rsidP="00D872B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5">
              <w:rPr>
                <w:rFonts w:ascii="Times New Roman" w:hAnsi="Times New Roman" w:cs="Times New Roman"/>
                <w:sz w:val="24"/>
                <w:szCs w:val="24"/>
              </w:rPr>
              <w:t>(+) 1.6%</w:t>
            </w:r>
          </w:p>
        </w:tc>
      </w:tr>
    </w:tbl>
    <w:p w:rsidR="00D872B5" w:rsidRDefault="00D872B5" w:rsidP="00D872B5"/>
    <w:p w:rsidR="00D872B5" w:rsidRDefault="00D872B5">
      <w:bookmarkStart w:id="0" w:name="_GoBack"/>
      <w:r w:rsidRPr="00D872B5">
        <w:drawing>
          <wp:inline distT="0" distB="0" distL="0" distR="0" wp14:anchorId="1E3DF211" wp14:editId="497C3CD5">
            <wp:extent cx="5943600" cy="3271520"/>
            <wp:effectExtent l="0" t="0" r="19050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8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B5"/>
    <w:rsid w:val="00865837"/>
    <w:rsid w:val="00D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anmar2" w:eastAsiaTheme="minorHAnsi" w:hAnsi="Myanmar2" w:cs="Myanmar2"/>
        <w:sz w:val="32"/>
        <w:szCs w:val="32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anmar2" w:eastAsiaTheme="minorHAnsi" w:hAnsi="Myanmar2" w:cs="Myanmar2"/>
        <w:sz w:val="32"/>
        <w:szCs w:val="32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48000">
                  <a:sysClr val="window" lastClr="FFFFFF"/>
                </a:gs>
                <a:gs pos="100000">
                  <a:srgbClr val="FF0000"/>
                </a:gs>
              </a:gsLst>
              <a:lin ang="0" scaled="1"/>
            </a:gra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Sheet1!$A$2:$A$11</c:f>
              <c:strCache>
                <c:ptCount val="10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  <c:pt idx="7">
                  <c:v>2013-2014</c:v>
                </c:pt>
                <c:pt idx="8">
                  <c:v>2014-2015</c:v>
                </c:pt>
                <c:pt idx="9">
                  <c:v>2015-2016 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99857</c:v>
                </c:pt>
                <c:pt idx="1">
                  <c:v>119201</c:v>
                </c:pt>
                <c:pt idx="2">
                  <c:v>134457</c:v>
                </c:pt>
                <c:pt idx="3">
                  <c:v>150041</c:v>
                </c:pt>
                <c:pt idx="4">
                  <c:v>175315</c:v>
                </c:pt>
                <c:pt idx="5">
                  <c:v>209932</c:v>
                </c:pt>
                <c:pt idx="6">
                  <c:v>239347</c:v>
                </c:pt>
                <c:pt idx="7">
                  <c:v>309767</c:v>
                </c:pt>
                <c:pt idx="8">
                  <c:v>377557</c:v>
                </c:pt>
                <c:pt idx="9">
                  <c:v>459037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Export</c:v>
                </c:pt>
              </c:strCache>
            </c:strRef>
          </c:tx>
          <c:spPr>
            <a:gradFill>
              <a:gsLst>
                <a:gs pos="0">
                  <a:srgbClr val="0000FF"/>
                </a:gs>
                <a:gs pos="48000">
                  <a:sysClr val="window" lastClr="FFFFFF"/>
                </a:gs>
                <a:gs pos="100000">
                  <a:srgbClr val="0000FF"/>
                </a:gs>
              </a:gsLst>
              <a:lin ang="0" scaled="1"/>
            </a:gra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Sheet1!$A$2:$A$11</c:f>
              <c:strCache>
                <c:ptCount val="10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  <c:pt idx="7">
                  <c:v>2013-2014</c:v>
                </c:pt>
                <c:pt idx="8">
                  <c:v>2014-2015</c:v>
                </c:pt>
                <c:pt idx="9">
                  <c:v>2015-2016 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96832</c:v>
                </c:pt>
                <c:pt idx="1">
                  <c:v>127195</c:v>
                </c:pt>
                <c:pt idx="2">
                  <c:v>151497</c:v>
                </c:pt>
                <c:pt idx="3">
                  <c:v>147938</c:v>
                </c:pt>
                <c:pt idx="4">
                  <c:v>171327</c:v>
                </c:pt>
                <c:pt idx="5">
                  <c:v>203445</c:v>
                </c:pt>
                <c:pt idx="6">
                  <c:v>238993</c:v>
                </c:pt>
                <c:pt idx="7">
                  <c:v>303804</c:v>
                </c:pt>
                <c:pt idx="8">
                  <c:v>367232</c:v>
                </c:pt>
                <c:pt idx="9">
                  <c:v>434164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4500224"/>
        <c:axId val="283885952"/>
      </c:barChart>
      <c:catAx>
        <c:axId val="27450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83885952"/>
        <c:crosses val="autoZero"/>
        <c:auto val="1"/>
        <c:lblAlgn val="ctr"/>
        <c:lblOffset val="100"/>
        <c:noMultiLvlLbl val="0"/>
      </c:catAx>
      <c:valAx>
        <c:axId val="2838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500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 (Ton)</c:v>
                </c:pt>
              </c:strCache>
            </c:strRef>
          </c:tx>
          <c:spPr>
            <a:gradFill flip="none" rotWithShape="1">
              <a:gsLst>
                <a:gs pos="0">
                  <a:srgbClr val="FF0000"/>
                </a:gs>
                <a:gs pos="48000">
                  <a:srgbClr val="FBD49C"/>
                </a:gs>
                <a:gs pos="100000">
                  <a:srgbClr val="FF0000"/>
                </a:gs>
              </a:gsLst>
              <a:lin ang="0" scaled="1"/>
              <a:tileRect/>
            </a:gradFill>
          </c:spPr>
          <c:invertIfNegative val="0"/>
          <c:cat>
            <c:strRef>
              <c:f>Sheet1!$A$2:$A$11</c:f>
              <c:strCache>
                <c:ptCount val="10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  <c:pt idx="7">
                  <c:v>2013-2014</c:v>
                </c:pt>
                <c:pt idx="8">
                  <c:v>2014-2015</c:v>
                </c:pt>
                <c:pt idx="9">
                  <c:v>2015-2016 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1621010</c:v>
                </c:pt>
                <c:pt idx="1">
                  <c:v>1726800</c:v>
                </c:pt>
                <c:pt idx="2">
                  <c:v>1485000</c:v>
                </c:pt>
                <c:pt idx="3">
                  <c:v>2594606</c:v>
                </c:pt>
                <c:pt idx="4">
                  <c:v>5553545</c:v>
                </c:pt>
                <c:pt idx="5">
                  <c:v>3132302</c:v>
                </c:pt>
                <c:pt idx="6">
                  <c:v>6289316</c:v>
                </c:pt>
                <c:pt idx="7">
                  <c:v>7202162</c:v>
                </c:pt>
                <c:pt idx="8">
                  <c:v>9670919</c:v>
                </c:pt>
                <c:pt idx="9">
                  <c:v>11525748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Export (Ton)</c:v>
                </c:pt>
              </c:strCache>
            </c:strRef>
          </c:tx>
          <c:spPr>
            <a:gradFill>
              <a:gsLst>
                <a:gs pos="0">
                  <a:srgbClr val="0000FF"/>
                </a:gs>
                <a:gs pos="48000">
                  <a:srgbClr val="FFFF00"/>
                </a:gs>
                <a:gs pos="100000">
                  <a:srgbClr val="0000FF"/>
                </a:gs>
              </a:gsLst>
              <a:lin ang="0" scaled="1"/>
            </a:gradFill>
          </c:spPr>
          <c:invertIfNegative val="0"/>
          <c:cat>
            <c:strRef>
              <c:f>Sheet1!$A$2:$A$11</c:f>
              <c:strCache>
                <c:ptCount val="10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  <c:pt idx="7">
                  <c:v>2013-2014</c:v>
                </c:pt>
                <c:pt idx="8">
                  <c:v>2014-2015</c:v>
                </c:pt>
                <c:pt idx="9">
                  <c:v>2015-2016 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749358</c:v>
                </c:pt>
                <c:pt idx="1">
                  <c:v>885345</c:v>
                </c:pt>
                <c:pt idx="2">
                  <c:v>3004119</c:v>
                </c:pt>
                <c:pt idx="3">
                  <c:v>1332885</c:v>
                </c:pt>
                <c:pt idx="4">
                  <c:v>1957907</c:v>
                </c:pt>
                <c:pt idx="5">
                  <c:v>1876712</c:v>
                </c:pt>
                <c:pt idx="6">
                  <c:v>3871211</c:v>
                </c:pt>
                <c:pt idx="7">
                  <c:v>5047790</c:v>
                </c:pt>
                <c:pt idx="8">
                  <c:v>2437193</c:v>
                </c:pt>
                <c:pt idx="9">
                  <c:v>777031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319878656"/>
        <c:axId val="319880192"/>
      </c:barChart>
      <c:catAx>
        <c:axId val="31987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319880192"/>
        <c:crosses val="autoZero"/>
        <c:auto val="1"/>
        <c:lblAlgn val="ctr"/>
        <c:lblOffset val="100"/>
        <c:noMultiLvlLbl val="0"/>
      </c:catAx>
      <c:valAx>
        <c:axId val="31988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878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riel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Oriel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riel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Oriel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Oriel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riel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 Nyein Aye</dc:creator>
  <cp:lastModifiedBy>Myo Nyein Aye</cp:lastModifiedBy>
  <cp:revision>1</cp:revision>
  <dcterms:created xsi:type="dcterms:W3CDTF">2017-12-05T01:23:00Z</dcterms:created>
  <dcterms:modified xsi:type="dcterms:W3CDTF">2017-12-05T01:29:00Z</dcterms:modified>
</cp:coreProperties>
</file>